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269 vom 8. Dezember 1981</w:t>
      </w:r>
    </w:p>
    <w:p>
      <w:r>
        <w:t>Bundesgericht (BGE), 1981-12-08, DE</w:t>
      </w:r>
    </w:p>
    <w:p>
      <w:r>
        <w:rPr>
          <w:b/>
        </w:rPr>
        <w:t xml:space="preserve">Quelle: </w:t>
      </w:r>
      <w:r>
        <w:t>https://mcp.opencaselaw.ch/entscheid/bge_107 IA 269</w:t>
      </w:r>
    </w:p>
    <w:p>
      <w:r>
        <w:t>FR: BGE 107 IA 269 du 8 décembre 1981</w:t>
      </w:r>
    </w:p>
    <w:p>
      <w:r>
        <w:t>IT: BGE 107 IA 269 del 8 dicembre 1981</w:t>
      </w:r>
    </w:p>
    <w:p>
      <w:pPr>
        <w:pStyle w:val="Heading2"/>
      </w:pPr>
      <w:r>
        <w:t>Regeste</w:t>
      </w:r>
    </w:p>
    <w:p>
      <w:r>
        <w:t>Regeste Art. 94 OG; Gesuch um aufschiebende Wirkung bei staatsrechtlichen Beschwerden betreffend eine Steuerforderung.</w:t>
      </w:r>
    </w:p>
    <w:p>
      <w:pPr>
        <w:pStyle w:val="Heading2"/>
      </w:pPr>
      <w:r>
        <w:t>Erwägungen</w:t>
      </w:r>
    </w:p>
    <w:p>
      <w:r>
        <w:rPr>
          <w:b/>
        </w:rPr>
        <w:t>E. 1</w:t>
      </w:r>
    </w:p>
    <w:p>
      <w:r>
        <w:t>Wird bei einer staatsrechtlichen Beschwerde betreffend eine Geldforderung die aufschiebende Wirkung beantragt, so hat der Abteilungspräsident aufgrund der konkreten Umstände zu entscheiden, welches die Tragweite des Antrages und seiner Entscheidung sein soll ( BGE 106 Ia 159 ). Der Abteilungspräsident nimmt dabei im Rahmen von Art. 94 OG eine Interessenabwägung vor; er wägt dabei die öffentlichen Interessen an einer sofortigen Vollstreckung der Geldforderung ab gegenüber den Privatinteressen an einem Aufschub der Vollstreckung, bis die angebliche Verfassungswidrigkeit höchstrichterlich geprüft wurde; dabei BGE 107 Ia 269 S. 271 anerkennt die Rechtsprechung der Entscheidungsinstanz einen Ermessungsspielraum zu ( BGE 106 Ib 295 mit Verweisungen). Diese Interessenabwägung kann unterbleiben, wenn die zur Vernehmlassung eingeladene kantonale Behörde sich mit der Erteilung der aufschiebenden Wirkung einverstanden erklärt. Bei Nichtäusserung innert Frist kann häufig angenommen werden, die Behörde habe gegen die Gewährung der aufschiebenden Wirkung nichts einzuwenden. Stellt dagegen die kantonale Behörde den Entscheid in das Ermessen des Abteilungspräsidenten oder beantragt sie Abweisung des Begehrens, so muss die Interessenabwägung vorgenommen werden. Dabei lassen sich die Grundsätze, die für die Verwaltungsrechtspflege entwickelt wurden (vgl. dazu Fritz GYGI, Aufschiebende Wirkung und vorsorgliche Massnahmen in der Verwaltungsrechtspflege, ZBl 77/1976, 1 ff.) nicht unbesehen auf die Staatsrechtspflege übertragen, da ja mindestens im Bundesrecht die Verwaltungsgerichtsbeschwerde gegen eine Verfügung, die zu einer Geldleistung verpflichtet, von Gesetzes wegen aufschiebende Wirkung hat, während dies bei der staatsrechtlichen Beschwerde nicht zutrifft. Das staatsrechtliche Beschwerdeverfahren ist nicht einfach die Weiterführung eines kantonalen Verfahrens, sondern ein selbständiges, ausserordentliches Rechtsmittel, bei dem geprüft wird, ob ein kantonaler Entscheid, der an sich rechtskräftig und vollstreckbar ist, ausnahmsweise verfassungsmässige Rechte der Bürger verletzt. Aus der Eigenständigkeit der Kantone folgt, dass in diesem Bereich kantonaler Hoheit nur eingegriffen werden soll, soweit wirklich Massnahmen erforderlich sind, um den bestehenden Zustand zu erhalten und konkrete rechtliche Interessen einstweilen sicherzustellen ( Art. 94 OG ). Diese Notwendigkeit einer vorsorglichen Verfügung hat der Gesuchsteller grundsätzlich darzutun, auch bei Steuerforderungen.</w:t>
      </w:r>
    </w:p>
    <w:p>
      <w:r>
        <w:rPr>
          <w:b/>
        </w:rPr>
        <w:t>E. 2</w:t>
      </w:r>
    </w:p>
    <w:p>
      <w:r>
        <w:t>Entgegen der Auffassung der Beschwerdeführerin führt die Interessenabwägung keineswegs in allen staatsrechtlichen Steuerstreitigkeiten zur Gutheissung des Begehrens um aufschiebende Wirkung. Vielmehr ist davon auszugehen, dass die Vollstreckbarkeit der kantonalrechtlichen Steuerforderungen die Regel und die Zuerkennung der aufschiebenden Wirkung trotz Einsprache der kantonalen Behörde die Ausnahme sein muss. Es besteht an sich ein schützenswertes öffentliches Interesse, dass das Veranlagungsverfahren nicht durch Willkürbeschwerden hinausgezögert wird, die sich bei näherem Zusehen als haltlos erweisen. In einer Zeit, BGE 107 Ia 269 S. 272 in der allgemein bekannt ist, dass gerade die mit den Abgabensachen betraute Abteilung des Bundesgerichtes stark überlastet ist, wächst die Gefahr, dass der Wunsch, Zeit zu gewinnen, auch wenn Verzugszinsen bezahlt werden müssen, bei zahlreichen staatsrechtlichen Willkürbeschwerden in Steuersachen wesentlich mitspielt. Dies ist jedoch kein schützenswertes rechtliches Interesse im Sinne von Art. 94 OG . Der Bürger muss wissen, dass er im Falle des Obsiegens Anspruch darauf hat, den aufgrund einer verfassungswidrigen Veranlagung zuviel bezahlten Steuerbetrag mit Verzugszinsen zurückzuerhalten; in der Regel entsteht ihm deshalb aus der sofortigen Vollstreckbarkeit kein Nachteil, der eine vorsorgliche Verfügung im Sinne von Art. 94 OG nötig macht. Anders liegen die Verhältnisse, wenn der strittig gebliebene Teil der Steuerforderung so gross ist, dass der Steuerpflichtige nachgewiesenermassen in Zahlungsschwierigkeiten käme, wenn er die umstrittene Forderung vor Abklärung ihrer Verfassungsmässigkeit bezahlen müsste. Trifft dies zu, so geht sein Privatinteresse an der nicht sofortigen Vollstreckung vor; doch muss auch dann auf Antrag hin ein allfälliger Anspruch des Kantons auf Sicherstellung der von der letzten kantonalen Instanz beurteilten Steuerforderung geprüft werden.</w:t>
      </w:r>
    </w:p>
    <w:p>
      <w:r>
        <w:rPr>
          <w:b/>
        </w:rPr>
        <w:t>E. 3</w:t>
      </w:r>
    </w:p>
    <w:p>
      <w:r>
        <w:t>Im vorliegenden Fall hat der Kanton nicht sofort die Vollstreckung der Steuerforderung durch Betreibung eingeleitet, sondern gestützt auf kantonales Recht Sicherstellung verlangt. Die Beschwerdeführerin bestreitet die Zulässigkeit dieses Vorgehens und im kantonalen Beschwerdeverfahren wurde ihr diesbezüglich aufschiebende Wirkung gewährt. Unter diesen Umständen ist zur Zeit keine vorsorgliche Verfügung des Abteilungspräsidenten des Bundesgerichts in der hier hängigen staatsrechtlichen Beschwerde erforderlich. Bejaht das Kantonsgericht als Aufsichtsbehörde in Schuldbetreibungs- und Konkurssachen die Rechtmässigkeit der erlassenen Sicherstellungsverfügung und die Höhe der Garantieleistung, so wird diesbezüglich das Bundesgericht in einem separaten Verfahren angerufen werden; diesem Verfahren ist nicht vorzugreifen. Dispositiv Verfügt: Die aufschiebende Wirkung wird verweigert.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